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48164D" w:rsidP="00623571">
            <w:pPr>
              <w:jc w:val="center"/>
              <w:rPr>
                <w:rFonts w:ascii="Arial" w:hAnsi="Arial" w:cs="Arial"/>
                <w:color w:val="323E4F" w:themeColor="text2" w:themeShade="BF"/>
                <w:sz w:val="28"/>
              </w:rPr>
            </w:pPr>
            <w:r>
              <w:rPr>
                <w:rFonts w:ascii="Arial" w:hAnsi="Arial" w:cs="Arial"/>
                <w:color w:val="323E4F" w:themeColor="text2" w:themeShade="BF"/>
                <w:sz w:val="52"/>
              </w:rPr>
              <w:t>Food &amp; Beverage Assistant</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504CA2" w:rsidRPr="00504CA2">
              <w:rPr>
                <w:rFonts w:ascii="Arial" w:hAnsi="Arial" w:cs="Arial"/>
                <w:color w:val="323E4F" w:themeColor="text2" w:themeShade="BF"/>
                <w:sz w:val="28"/>
              </w:rPr>
              <w:t>REQ004779</w:t>
            </w:r>
            <w:bookmarkStart w:id="0" w:name="_GoBack"/>
            <w:bookmarkEnd w:id="0"/>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2B173B">
              <w:rPr>
                <w:rFonts w:ascii="Arial" w:hAnsi="Arial" w:cs="Arial"/>
                <w:color w:val="323E4F" w:themeColor="text2" w:themeShade="BF"/>
                <w:sz w:val="28"/>
              </w:rPr>
              <w:t>Economy &amp; Culture</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2B173B">
              <w:rPr>
                <w:rFonts w:ascii="Arial" w:hAnsi="Arial" w:cs="Arial"/>
                <w:color w:val="323E4F" w:themeColor="text2" w:themeShade="BF"/>
                <w:sz w:val="28"/>
              </w:rPr>
              <w:t>Venues Management</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2B173B">
              <w:rPr>
                <w:rFonts w:ascii="Arial" w:hAnsi="Arial" w:cs="Arial"/>
                <w:color w:val="323E4F" w:themeColor="text2" w:themeShade="BF"/>
                <w:sz w:val="28"/>
              </w:rPr>
              <w:t>Venue Cymru</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2B173B">
              <w:rPr>
                <w:rFonts w:ascii="Arial" w:hAnsi="Arial" w:cs="Arial"/>
                <w:color w:val="323E4F" w:themeColor="text2" w:themeShade="BF"/>
                <w:sz w:val="28"/>
              </w:rPr>
              <w:t>£</w:t>
            </w:r>
            <w:r w:rsidR="00F0482B">
              <w:rPr>
                <w:rFonts w:ascii="Arial" w:hAnsi="Arial" w:cs="Arial"/>
                <w:color w:val="323E4F" w:themeColor="text2" w:themeShade="BF"/>
                <w:sz w:val="28"/>
              </w:rPr>
              <w:t>18,333</w:t>
            </w:r>
            <w:r w:rsidR="002B173B">
              <w:rPr>
                <w:rFonts w:ascii="Arial" w:hAnsi="Arial" w:cs="Arial"/>
                <w:color w:val="323E4F" w:themeColor="text2" w:themeShade="BF"/>
                <w:sz w:val="28"/>
              </w:rPr>
              <w:t xml:space="preserve"> </w:t>
            </w:r>
            <w:r w:rsidR="00F0482B">
              <w:rPr>
                <w:rFonts w:ascii="Arial" w:hAnsi="Arial" w:cs="Arial"/>
                <w:color w:val="323E4F" w:themeColor="text2" w:themeShade="BF"/>
                <w:sz w:val="28"/>
              </w:rPr>
              <w:t>- £18,887</w:t>
            </w:r>
            <w:r w:rsidR="004E5878">
              <w:rPr>
                <w:rFonts w:ascii="Arial" w:hAnsi="Arial" w:cs="Arial"/>
                <w:color w:val="323E4F" w:themeColor="text2" w:themeShade="BF"/>
                <w:sz w:val="28"/>
              </w:rPr>
              <w:t xml:space="preserve"> </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544E09">
              <w:rPr>
                <w:rFonts w:ascii="Arial" w:hAnsi="Arial" w:cs="Arial"/>
                <w:color w:val="323E4F" w:themeColor="text2" w:themeShade="BF"/>
                <w:sz w:val="28"/>
              </w:rPr>
              <w:t>average of 37</w:t>
            </w:r>
            <w:r w:rsidR="00CC0F20">
              <w:rPr>
                <w:rFonts w:ascii="Arial" w:hAnsi="Arial" w:cs="Arial"/>
                <w:color w:val="323E4F" w:themeColor="text2" w:themeShade="BF"/>
                <w:sz w:val="28"/>
              </w:rPr>
              <w:t xml:space="preserve"> hours per week</w:t>
            </w:r>
            <w:r w:rsidR="00544E09">
              <w:rPr>
                <w:rFonts w:ascii="Arial" w:hAnsi="Arial" w:cs="Arial"/>
                <w:color w:val="323E4F" w:themeColor="text2" w:themeShade="BF"/>
                <w:sz w:val="28"/>
              </w:rPr>
              <w:t xml:space="preserve"> on an annualised hours basis</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CC0F20" w:rsidRDefault="00CC0F20" w:rsidP="00CC0F20">
            <w:pPr>
              <w:rPr>
                <w:rFonts w:ascii="Arial" w:hAnsi="Arial" w:cs="Arial"/>
                <w:sz w:val="24"/>
              </w:rPr>
            </w:pPr>
            <w:r w:rsidRPr="008113EA">
              <w:rPr>
                <w:rFonts w:ascii="Arial" w:hAnsi="Arial" w:cs="Arial"/>
                <w:sz w:val="24"/>
              </w:rPr>
              <w:t xml:space="preserve">The ability to conduct a simple conversation in Welsh is </w:t>
            </w:r>
            <w:r w:rsidR="00753CD4">
              <w:rPr>
                <w:rFonts w:ascii="Arial" w:hAnsi="Arial" w:cs="Arial"/>
                <w:sz w:val="24"/>
              </w:rPr>
              <w:t>desirable</w:t>
            </w:r>
            <w:r w:rsidRPr="008113EA">
              <w:rPr>
                <w:rFonts w:ascii="Arial" w:hAnsi="Arial" w:cs="Arial"/>
                <w:sz w:val="24"/>
              </w:rPr>
              <w:t xml:space="preserve"> for this post.</w:t>
            </w:r>
          </w:p>
          <w:p w:rsidR="00CC0F20" w:rsidRPr="00C75217" w:rsidRDefault="00CC0F20" w:rsidP="00CC0F20">
            <w:pPr>
              <w:rPr>
                <w:rFonts w:ascii="Arial" w:hAnsi="Arial" w:cs="Arial"/>
                <w:color w:val="323E4F" w:themeColor="text2" w:themeShade="BF"/>
                <w:sz w:val="24"/>
              </w:rPr>
            </w:pP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CC0F20" w:rsidRPr="00F62F1B" w:rsidRDefault="00623571" w:rsidP="00CC0F20">
            <w:pPr>
              <w:rPr>
                <w:rFonts w:ascii="Arial" w:hAnsi="Arial" w:cs="Arial"/>
                <w:b w:val="0"/>
                <w:color w:val="323E4F" w:themeColor="text2" w:themeShade="BF"/>
                <w:sz w:val="24"/>
              </w:rPr>
            </w:pPr>
            <w:r w:rsidRPr="00B33172">
              <w:rPr>
                <w:rFonts w:ascii="Arial" w:hAnsi="Arial" w:cs="Arial"/>
                <w:color w:val="323E4F" w:themeColor="text2" w:themeShade="BF"/>
                <w:sz w:val="28"/>
              </w:rPr>
              <w:t>[</w:t>
            </w:r>
            <w:r w:rsidR="00CC0F20">
              <w:rPr>
                <w:rFonts w:ascii="Arial" w:hAnsi="Arial" w:cs="Arial"/>
                <w:color w:val="323E4F" w:themeColor="text2" w:themeShade="BF"/>
                <w:sz w:val="24"/>
              </w:rPr>
              <w:t xml:space="preserve"> Ben Hankey, Front of House Services Manager 01492 879771/ ben.hankey@veneucymru.co.uk</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6C1325" w:rsidRDefault="007F4675" w:rsidP="00CC0F20">
            <w:pPr>
              <w:rPr>
                <w:rFonts w:ascii="Arial" w:eastAsia="Times New Roman" w:hAnsi="Arial" w:cs="Arial"/>
                <w:b w:val="0"/>
              </w:rPr>
            </w:pPr>
            <w:r>
              <w:rPr>
                <w:rFonts w:ascii="Arial" w:hAnsi="Arial" w:cs="Arial"/>
                <w:b w:val="0"/>
                <w:sz w:val="24"/>
              </w:rPr>
              <w:lastRenderedPageBreak/>
              <w:t xml:space="preserve"> </w:t>
            </w:r>
            <w:r w:rsidR="00CC0F20">
              <w:rPr>
                <w:rFonts w:ascii="Arial" w:hAnsi="Arial" w:cs="Arial"/>
              </w:rPr>
              <w:t xml:space="preserve"> </w:t>
            </w:r>
            <w:r w:rsidR="00CC0F20" w:rsidRPr="00CC0F20">
              <w:rPr>
                <w:rFonts w:ascii="Arial" w:hAnsi="Arial" w:cs="Arial"/>
                <w:b w:val="0"/>
              </w:rPr>
              <w:t xml:space="preserve">Venue Cymru is the regions busiest arts and events centre, comprising of a 1,500 seat theatre, 2,500 capacity arena and a full range of high quality conference and event spaces. We present a diverse arts programme, from West End Shows to our own Young Creatives performances, and host high profile conferences and events throughout the year.   We are now recruiting for </w:t>
            </w:r>
            <w:r w:rsidR="00F0482B">
              <w:rPr>
                <w:rFonts w:ascii="Arial" w:hAnsi="Arial" w:cs="Arial"/>
                <w:b w:val="0"/>
              </w:rPr>
              <w:t xml:space="preserve">a </w:t>
            </w:r>
            <w:r w:rsidR="00CC0F20" w:rsidRPr="00CC0F20">
              <w:rPr>
                <w:rFonts w:ascii="Arial" w:hAnsi="Arial" w:cs="Arial"/>
                <w:b w:val="0"/>
              </w:rPr>
              <w:t>competent Food &amp; Beverage Assistant</w:t>
            </w:r>
            <w:r w:rsidR="004E5878">
              <w:rPr>
                <w:rFonts w:ascii="Arial" w:hAnsi="Arial" w:cs="Arial"/>
                <w:b w:val="0"/>
              </w:rPr>
              <w:t xml:space="preserve"> to join our F</w:t>
            </w:r>
            <w:r w:rsidR="00CC0F20" w:rsidRPr="00CC0F20">
              <w:rPr>
                <w:rFonts w:ascii="Arial" w:hAnsi="Arial" w:cs="Arial"/>
                <w:b w:val="0"/>
              </w:rPr>
              <w:t xml:space="preserve">ront of </w:t>
            </w:r>
            <w:r w:rsidR="004E5878">
              <w:rPr>
                <w:rFonts w:ascii="Arial" w:hAnsi="Arial" w:cs="Arial"/>
                <w:b w:val="0"/>
              </w:rPr>
              <w:t>House S</w:t>
            </w:r>
            <w:r w:rsidR="00CC0F20" w:rsidRPr="00CC0F20">
              <w:rPr>
                <w:rFonts w:ascii="Arial" w:hAnsi="Arial" w:cs="Arial"/>
                <w:b w:val="0"/>
              </w:rPr>
              <w:t>ervices team.</w:t>
            </w:r>
          </w:p>
          <w:p w:rsidR="00CC0F20" w:rsidRPr="009B7A1F" w:rsidRDefault="00CC0F20" w:rsidP="00CC0F20">
            <w:pPr>
              <w:rPr>
                <w:rFonts w:ascii="Arial" w:eastAsia="Times New Roman" w:hAnsi="Arial" w:cs="Arial"/>
                <w:b w:val="0"/>
              </w:rPr>
            </w:pPr>
          </w:p>
          <w:p w:rsidR="009B7A1F" w:rsidRPr="009B7A1F" w:rsidRDefault="009B7A1F" w:rsidP="009B7A1F">
            <w:pPr>
              <w:jc w:val="both"/>
              <w:rPr>
                <w:rFonts w:ascii="Arial" w:eastAsia="Times New Roman" w:hAnsi="Arial" w:cs="Arial"/>
                <w:b w:val="0"/>
              </w:rPr>
            </w:pPr>
            <w:r w:rsidRPr="009B7A1F">
              <w:rPr>
                <w:rFonts w:ascii="Arial" w:eastAsia="Times New Roman" w:hAnsi="Arial" w:cs="Arial"/>
                <w:b w:val="0"/>
              </w:rPr>
              <w:t xml:space="preserve">The </w:t>
            </w:r>
            <w:proofErr w:type="spellStart"/>
            <w:r w:rsidRPr="009B7A1F">
              <w:rPr>
                <w:rFonts w:ascii="Arial" w:eastAsia="Times New Roman" w:hAnsi="Arial" w:cs="Arial"/>
                <w:b w:val="0"/>
              </w:rPr>
              <w:t>postholder</w:t>
            </w:r>
            <w:proofErr w:type="spellEnd"/>
            <w:r w:rsidRPr="009B7A1F">
              <w:rPr>
                <w:rFonts w:ascii="Arial" w:eastAsia="Times New Roman" w:hAnsi="Arial" w:cs="Arial"/>
                <w:b w:val="0"/>
              </w:rPr>
              <w:t xml:space="preserve"> must be able to work as part of a team and will be required to work in all front of house areas of the catering department carrying out a range of duties including setting-up areas, cleaning, serving behind the bars and waiting-on in the restaurant.  </w:t>
            </w:r>
          </w:p>
          <w:p w:rsidR="009B7A1F" w:rsidRPr="009B7A1F" w:rsidRDefault="009B7A1F" w:rsidP="009B7A1F">
            <w:pPr>
              <w:jc w:val="both"/>
              <w:rPr>
                <w:rFonts w:ascii="Arial" w:eastAsia="Times New Roman" w:hAnsi="Arial" w:cs="Arial"/>
                <w:b w:val="0"/>
              </w:rPr>
            </w:pPr>
          </w:p>
          <w:p w:rsidR="009B7A1F" w:rsidRPr="009B7A1F" w:rsidRDefault="009B7A1F" w:rsidP="009B7A1F">
            <w:pPr>
              <w:jc w:val="both"/>
              <w:rPr>
                <w:rFonts w:ascii="Arial" w:eastAsia="Times New Roman" w:hAnsi="Arial" w:cs="Arial"/>
                <w:b w:val="0"/>
              </w:rPr>
            </w:pPr>
            <w:r w:rsidRPr="009B7A1F">
              <w:rPr>
                <w:rFonts w:ascii="Arial" w:eastAsia="Times New Roman" w:hAnsi="Arial" w:cs="Arial"/>
                <w:b w:val="0"/>
              </w:rPr>
              <w:t>Previous experience of working in a similar role would be an advantage however training will be given.</w:t>
            </w:r>
          </w:p>
          <w:p w:rsidR="009B7A1F" w:rsidRPr="009B7A1F" w:rsidRDefault="009B7A1F" w:rsidP="009B7A1F">
            <w:pPr>
              <w:jc w:val="both"/>
              <w:rPr>
                <w:rFonts w:ascii="Arial" w:eastAsia="Times New Roman" w:hAnsi="Arial" w:cs="Arial"/>
                <w:b w:val="0"/>
              </w:rPr>
            </w:pPr>
          </w:p>
          <w:p w:rsidR="009B7A1F" w:rsidRDefault="00753CD4" w:rsidP="009B7A1F">
            <w:pPr>
              <w:jc w:val="both"/>
              <w:rPr>
                <w:rFonts w:ascii="Arial" w:eastAsia="Times New Roman" w:hAnsi="Arial" w:cs="Arial"/>
                <w:b w:val="0"/>
              </w:rPr>
            </w:pPr>
            <w:r w:rsidRPr="009B7A1F">
              <w:rPr>
                <w:rFonts w:ascii="Arial" w:eastAsia="Times New Roman" w:hAnsi="Arial" w:cs="Arial"/>
                <w:b w:val="0"/>
              </w:rPr>
              <w:t xml:space="preserve">To ensure adequate bilingual provision within the section, the ability to communicate in English is essential and the ability to conduct a simple conversation in Welsh is </w:t>
            </w:r>
            <w:r>
              <w:rPr>
                <w:rFonts w:ascii="Arial" w:eastAsia="Times New Roman" w:hAnsi="Arial" w:cs="Arial"/>
                <w:b w:val="0"/>
              </w:rPr>
              <w:t xml:space="preserve">desirable </w:t>
            </w:r>
            <w:r w:rsidRPr="009B7A1F">
              <w:rPr>
                <w:rFonts w:ascii="Arial" w:eastAsia="Times New Roman" w:hAnsi="Arial" w:cs="Arial"/>
                <w:b w:val="0"/>
              </w:rPr>
              <w:t>for this post</w:t>
            </w:r>
            <w:r>
              <w:rPr>
                <w:rFonts w:ascii="Arial" w:eastAsia="Times New Roman" w:hAnsi="Arial" w:cs="Arial"/>
                <w:b w:val="0"/>
              </w:rPr>
              <w:t>.</w:t>
            </w:r>
          </w:p>
          <w:p w:rsidR="00753CD4" w:rsidRPr="009B7A1F" w:rsidRDefault="00753CD4" w:rsidP="009B7A1F">
            <w:pPr>
              <w:jc w:val="both"/>
              <w:rPr>
                <w:rFonts w:ascii="Arial" w:eastAsia="Times New Roman" w:hAnsi="Arial" w:cs="Arial"/>
                <w:b w:val="0"/>
              </w:rPr>
            </w:pPr>
          </w:p>
          <w:p w:rsidR="009B7A1F" w:rsidRPr="00771C32" w:rsidRDefault="00303D71" w:rsidP="009B7A1F">
            <w:pPr>
              <w:shd w:val="pct15" w:color="auto" w:fill="FFFFFF"/>
              <w:jc w:val="both"/>
              <w:rPr>
                <w:rFonts w:ascii="Arial" w:eastAsia="Times New Roman" w:hAnsi="Arial" w:cs="Arial"/>
              </w:rPr>
            </w:pPr>
            <w:r>
              <w:rPr>
                <w:rFonts w:ascii="Arial" w:eastAsia="Times New Roman" w:hAnsi="Arial" w:cs="Arial"/>
                <w:b w:val="0"/>
              </w:rPr>
              <w:t>This is a permanent full</w:t>
            </w:r>
            <w:r w:rsidR="009B7A1F" w:rsidRPr="009B7A1F">
              <w:rPr>
                <w:rFonts w:ascii="Arial" w:eastAsia="Times New Roman" w:hAnsi="Arial" w:cs="Arial"/>
                <w:b w:val="0"/>
              </w:rPr>
              <w:t xml:space="preserve"> time post with the hours of work being on an annualised </w:t>
            </w:r>
            <w:proofErr w:type="gramStart"/>
            <w:r w:rsidR="009B7A1F" w:rsidRPr="009B7A1F">
              <w:rPr>
                <w:rFonts w:ascii="Arial" w:eastAsia="Times New Roman" w:hAnsi="Arial" w:cs="Arial"/>
                <w:b w:val="0"/>
              </w:rPr>
              <w:t>hours</w:t>
            </w:r>
            <w:proofErr w:type="gramEnd"/>
            <w:r w:rsidR="009B7A1F" w:rsidRPr="009B7A1F">
              <w:rPr>
                <w:rFonts w:ascii="Arial" w:eastAsia="Times New Roman" w:hAnsi="Arial" w:cs="Arial"/>
                <w:b w:val="0"/>
              </w:rPr>
              <w:t xml:space="preserve"> contract working for an average of </w:t>
            </w:r>
            <w:r w:rsidR="00544E09">
              <w:rPr>
                <w:rFonts w:ascii="Arial" w:eastAsia="Times New Roman" w:hAnsi="Arial" w:cs="Arial"/>
                <w:b w:val="0"/>
              </w:rPr>
              <w:t>37</w:t>
            </w:r>
            <w:r w:rsidR="009B7A1F" w:rsidRPr="009B7A1F">
              <w:rPr>
                <w:rFonts w:ascii="Arial" w:eastAsia="Times New Roman" w:hAnsi="Arial" w:cs="Arial"/>
                <w:b w:val="0"/>
              </w:rPr>
              <w:t xml:space="preserve"> hours a week arranged in accordance with the agreed system of working on a shift rota basis and includes weekend, evening and bank holiday working</w:t>
            </w:r>
            <w:r w:rsidR="009B7A1F" w:rsidRPr="00771C32">
              <w:rPr>
                <w:rFonts w:ascii="Arial" w:eastAsia="Times New Roman" w:hAnsi="Arial" w:cs="Arial"/>
              </w:rPr>
              <w:t xml:space="preserve">.  </w:t>
            </w:r>
          </w:p>
          <w:p w:rsidR="007F4675" w:rsidRPr="007A3EFE" w:rsidRDefault="007F4675" w:rsidP="006C1325">
            <w:pPr>
              <w:spacing w:after="160" w:line="259" w:lineRule="auto"/>
              <w:jc w:val="both"/>
              <w:rPr>
                <w:rFonts w:ascii="Arial" w:hAnsi="Arial" w:cs="Arial"/>
                <w:b w:val="0"/>
                <w:bCs w:val="0"/>
              </w:rPr>
            </w:pPr>
          </w:p>
          <w:p w:rsidR="00034C20" w:rsidRPr="00F62F1B" w:rsidRDefault="00034C20" w:rsidP="00624325">
            <w:pPr>
              <w:rPr>
                <w:rFonts w:ascii="Arial" w:hAnsi="Arial" w:cs="Arial"/>
                <w:b w:val="0"/>
                <w:sz w:val="24"/>
              </w:rPr>
            </w:pP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Conwy County Borough Council is committed to its Welsh Language Standards. We welcome applications in the Welsh Language and application forms received in the Welsh Language will not be treated less favourably than an application form submitted in English.</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504CA2"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504C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504C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504C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504C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504C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2A7F4D"/>
    <w:rsid w:val="002B173B"/>
    <w:rsid w:val="00303D71"/>
    <w:rsid w:val="00380AAF"/>
    <w:rsid w:val="004456C5"/>
    <w:rsid w:val="0048164D"/>
    <w:rsid w:val="004E5878"/>
    <w:rsid w:val="00504CA2"/>
    <w:rsid w:val="00544E09"/>
    <w:rsid w:val="00623571"/>
    <w:rsid w:val="00624325"/>
    <w:rsid w:val="00632FF3"/>
    <w:rsid w:val="00634F20"/>
    <w:rsid w:val="00661590"/>
    <w:rsid w:val="006C1325"/>
    <w:rsid w:val="006E3616"/>
    <w:rsid w:val="00753CD4"/>
    <w:rsid w:val="007F4675"/>
    <w:rsid w:val="008B6B34"/>
    <w:rsid w:val="00924AE9"/>
    <w:rsid w:val="00974478"/>
    <w:rsid w:val="009B7A1F"/>
    <w:rsid w:val="00A213A1"/>
    <w:rsid w:val="00AB2266"/>
    <w:rsid w:val="00AD1C26"/>
    <w:rsid w:val="00B33172"/>
    <w:rsid w:val="00C95D0F"/>
    <w:rsid w:val="00CC0F20"/>
    <w:rsid w:val="00D255FD"/>
    <w:rsid w:val="00E83C79"/>
    <w:rsid w:val="00E93C1E"/>
    <w:rsid w:val="00F0482B"/>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E080-F0BD-43E6-8F4B-36F866C8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Danielle Cahill</cp:lastModifiedBy>
  <cp:revision>3</cp:revision>
  <dcterms:created xsi:type="dcterms:W3CDTF">2022-09-20T10:00:00Z</dcterms:created>
  <dcterms:modified xsi:type="dcterms:W3CDTF">2022-09-27T15:59:00Z</dcterms:modified>
</cp:coreProperties>
</file>